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8"/>
        </w:rPr>
      </w:pPr>
      <w:bookmarkStart w:id="0" w:name="bookmark0"/>
      <w:r w:rsidRPr="001B7958">
        <w:rPr>
          <w:rFonts w:ascii="Century Gothic" w:hAnsi="Century Gothic"/>
          <w:b/>
          <w:sz w:val="24"/>
          <w:szCs w:val="28"/>
        </w:rPr>
        <w:t xml:space="preserve">6. ROLLER VE SORUMLULUKLAR </w:t>
      </w:r>
    </w:p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Bilgi Güvenliği Politikası kapsamındaki temel rol ve sorumluluklar aşağıda tanımlanmıştır: </w:t>
      </w:r>
      <w:bookmarkStart w:id="1" w:name="_GoBack"/>
      <w:bookmarkEnd w:id="1"/>
    </w:p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</w:p>
    <w:p w:rsidR="0014333F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6.1.Kapsam dâhilindeki tüm Kurum personeli, paydaş ve üçüncü taraflar Bilgi Güvenliği Politikasına uymak zorundadır. </w:t>
      </w:r>
    </w:p>
    <w:p w:rsidR="008C5556" w:rsidRPr="001B7958" w:rsidRDefault="008C5556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</w:p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</w:p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6.2.Kapsam dâhilindeki tüm personel güvenlik olaylarını, fark edilen güvenlik açıklıklarını ve güvenlik kuralları ihlallerini en kısa sürede Bilgi Güvenliği Sorumlularına raporlamaktan sorumludur. </w:t>
      </w:r>
    </w:p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</w:p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6.3.Bilgi Güvenliğinin yönetiminden Bilgi Güvenliği Sorumluları, devamlılığının sağlanmasından ve gözden geçirilmesinden Kurum Yönetimi sorumludur. </w:t>
      </w:r>
    </w:p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</w:p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6.4.Bilgi Güvenliği Sorumluları bilgi güvenliği politikasının uygulanmasını sağlamakla ve gözden geçirmekle sorumludur. </w:t>
      </w:r>
    </w:p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</w:p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6.5.Kurum Yönetimi çeşitli kurallar ve süreçler ile bu politikanın uygulanmasını desteklemekle sorumludur. </w:t>
      </w:r>
    </w:p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</w:p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6.6.Bilgi varlıklarının gizlilik, bütünlük, erişilebilirliğinin korunmasından varlık sahipleri sorumludur. </w:t>
      </w:r>
    </w:p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</w:p>
    <w:p w:rsidR="0014333F" w:rsidRPr="001B7958" w:rsidRDefault="0014333F" w:rsidP="0014333F">
      <w:pPr>
        <w:pStyle w:val="ListeParagraf"/>
        <w:spacing w:after="0" w:line="240" w:lineRule="auto"/>
        <w:ind w:left="0"/>
        <w:jc w:val="both"/>
        <w:rPr>
          <w:rFonts w:ascii="Century Gothic" w:hAnsi="Century Gothic"/>
          <w:sz w:val="24"/>
          <w:szCs w:val="28"/>
        </w:rPr>
      </w:pPr>
      <w:r w:rsidRPr="001B7958">
        <w:rPr>
          <w:rFonts w:ascii="Century Gothic" w:hAnsi="Century Gothic"/>
          <w:sz w:val="24"/>
          <w:szCs w:val="28"/>
        </w:rPr>
        <w:t xml:space="preserve">6.7.Tüm çalışanların bilgi güvenliği bilincini arttırmak için belirli aralıklarla farkındalık eğitimlerinin verilmesi Bilgi Güvenliği Sorumlularının sorumluluğundadır. </w:t>
      </w:r>
      <w:bookmarkEnd w:id="0"/>
    </w:p>
    <w:sectPr w:rsidR="0014333F" w:rsidRPr="001B7958" w:rsidSect="00E63D7E">
      <w:headerReference w:type="default" r:id="rId5"/>
      <w:footerReference w:type="default" r:id="rId6"/>
      <w:pgSz w:w="11909" w:h="16834"/>
      <w:pgMar w:top="1440" w:right="1440" w:bottom="1440" w:left="1440" w:header="0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 w:chapStyle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828" w:type="pct"/>
      <w:tblInd w:w="-749" w:type="dxa"/>
      <w:tblLayout w:type="fixed"/>
      <w:tblCellMar>
        <w:bottom w:w="510" w:type="dxa"/>
      </w:tblCellMar>
      <w:tblLook w:val="04A0" w:firstRow="1" w:lastRow="0" w:firstColumn="1" w:lastColumn="0" w:noHBand="0" w:noVBand="1"/>
    </w:tblPr>
    <w:tblGrid>
      <w:gridCol w:w="3260"/>
      <w:gridCol w:w="3852"/>
      <w:gridCol w:w="3377"/>
    </w:tblGrid>
    <w:tr w:rsidR="00A6422C" w:rsidRPr="00C40F40" w:rsidTr="00E63D7E">
      <w:trPr>
        <w:trHeight w:hRule="exact" w:val="602"/>
      </w:trPr>
      <w:tc>
        <w:tcPr>
          <w:tcW w:w="1554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8C5556" w:rsidP="00E63D7E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>H</w:t>
          </w:r>
          <w:r w:rsidRPr="00A6422C">
            <w:rPr>
              <w:rFonts w:ascii="Century Gothic" w:hAnsi="Century Gothic"/>
              <w:b/>
              <w:bCs/>
            </w:rPr>
            <w:t>AZIRLAYAN</w:t>
          </w:r>
        </w:p>
        <w:p w:rsidR="00A6422C" w:rsidRPr="00A6422C" w:rsidRDefault="008C5556" w:rsidP="00A6422C">
          <w:pPr>
            <w:pStyle w:val="AltBilgi"/>
            <w:jc w:val="center"/>
            <w:rPr>
              <w:rFonts w:ascii="Century Gothic" w:hAnsi="Century Gothic"/>
            </w:rPr>
          </w:pPr>
          <w:r w:rsidRPr="00A6422C">
            <w:rPr>
              <w:rFonts w:ascii="Century Gothic" w:hAnsi="Century Gothic"/>
            </w:rPr>
            <w:t xml:space="preserve">Bilgi Yönetimi Böl.Kalite Sor.       </w:t>
          </w:r>
        </w:p>
      </w:tc>
      <w:tc>
        <w:tcPr>
          <w:tcW w:w="1836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8C5556" w:rsidP="00A6422C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 w:rsidRPr="00A6422C">
            <w:rPr>
              <w:rFonts w:ascii="Century Gothic" w:hAnsi="Century Gothic"/>
              <w:b/>
              <w:bCs/>
            </w:rPr>
            <w:t>KONTROL EDEN</w:t>
          </w:r>
        </w:p>
        <w:p w:rsidR="00A6422C" w:rsidRPr="00A6422C" w:rsidRDefault="008C5556" w:rsidP="00A6422C">
          <w:pPr>
            <w:pStyle w:val="AltBilgi"/>
            <w:jc w:val="center"/>
            <w:rPr>
              <w:rFonts w:ascii="Century Gothic" w:hAnsi="Century Gothic"/>
            </w:rPr>
          </w:pPr>
          <w:r w:rsidRPr="00A6422C">
            <w:rPr>
              <w:rFonts w:ascii="Century Gothic" w:hAnsi="Century Gothic"/>
            </w:rPr>
            <w:t>Kalite Yönetim Direktörü</w:t>
          </w:r>
        </w:p>
      </w:tc>
      <w:tc>
        <w:tcPr>
          <w:tcW w:w="16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6422C" w:rsidRPr="00A6422C" w:rsidRDefault="008C5556" w:rsidP="00A6422C">
          <w:pPr>
            <w:pStyle w:val="AltBilgi"/>
            <w:jc w:val="center"/>
            <w:rPr>
              <w:rFonts w:ascii="Century Gothic" w:hAnsi="Century Gothic"/>
              <w:b/>
              <w:bCs/>
            </w:rPr>
          </w:pPr>
          <w:r w:rsidRPr="00A6422C">
            <w:rPr>
              <w:rFonts w:ascii="Century Gothic" w:hAnsi="Century Gothic"/>
              <w:b/>
              <w:bCs/>
            </w:rPr>
            <w:t>ONAY</w:t>
          </w:r>
        </w:p>
        <w:p w:rsidR="00A6422C" w:rsidRPr="00A6422C" w:rsidRDefault="008C5556" w:rsidP="00A6422C">
          <w:pPr>
            <w:pStyle w:val="AltBilgi"/>
            <w:jc w:val="center"/>
            <w:rPr>
              <w:rFonts w:ascii="Century Gothic" w:hAnsi="Century Gothic"/>
              <w:bCs/>
            </w:rPr>
          </w:pPr>
          <w:r w:rsidRPr="00A6422C">
            <w:rPr>
              <w:rFonts w:ascii="Century Gothic" w:hAnsi="Century Gothic"/>
            </w:rPr>
            <w:t>Başhekim</w:t>
          </w:r>
        </w:p>
      </w:tc>
    </w:tr>
  </w:tbl>
  <w:p w:rsidR="00A6422C" w:rsidRDefault="008C5556" w:rsidP="00A6422C">
    <w:pPr>
      <w:pStyle w:val="AltBilgi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E4A" w:rsidRDefault="008C5556"/>
  <w:p w:rsidR="003B1E4A" w:rsidRDefault="008C5556"/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77"/>
      <w:gridCol w:w="1838"/>
      <w:gridCol w:w="1785"/>
      <w:gridCol w:w="2628"/>
      <w:gridCol w:w="1271"/>
    </w:tblGrid>
    <w:tr w:rsidR="003B1E4A" w:rsidRPr="001B7958" w:rsidTr="006E62B7">
      <w:tc>
        <w:tcPr>
          <w:tcW w:w="8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B1E4A" w:rsidRPr="001B7958" w:rsidRDefault="008C5556" w:rsidP="001B795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74297C" wp14:editId="78686AE3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800100" cy="590550"/>
                <wp:effectExtent l="0" t="0" r="0" b="0"/>
                <wp:wrapNone/>
                <wp:docPr id="5" name="Resim 5" descr="İlgili resi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İlgili resim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9" w:type="pct"/>
          <w:gridSpan w:val="4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:rsidR="003B1E4A" w:rsidRPr="001B7958" w:rsidRDefault="008C5556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T.C</w:t>
          </w:r>
          <w:r>
            <w:rPr>
              <w:rFonts w:ascii="Century Gothic" w:eastAsia="Times New Roman" w:hAnsi="Century Gothic" w:cs="Times New Roman"/>
              <w:b/>
            </w:rPr>
            <w:t>.</w:t>
          </w:r>
        </w:p>
        <w:p w:rsidR="003B1E4A" w:rsidRPr="001B7958" w:rsidRDefault="008C5556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SAĞLIK BAKANLIĞI</w:t>
          </w:r>
        </w:p>
        <w:p w:rsidR="003B1E4A" w:rsidRPr="001B7958" w:rsidRDefault="008C5556" w:rsidP="001B7958">
          <w:pPr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>TOKAT DEVLET HASTANESİ</w:t>
          </w:r>
        </w:p>
        <w:p w:rsidR="003B1E4A" w:rsidRPr="001B7958" w:rsidRDefault="008C5556" w:rsidP="001B795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1B7958">
            <w:rPr>
              <w:rFonts w:ascii="Century Gothic" w:eastAsia="Times New Roman" w:hAnsi="Century Gothic" w:cs="Times New Roman"/>
              <w:b/>
            </w:rPr>
            <w:t xml:space="preserve">BİLGİ GÜVENLİĞİ </w:t>
          </w:r>
          <w:r>
            <w:rPr>
              <w:rFonts w:ascii="Century Gothic" w:eastAsia="Times New Roman" w:hAnsi="Century Gothic" w:cs="Times New Roman"/>
              <w:b/>
            </w:rPr>
            <w:t>POLİTİKASI</w:t>
          </w:r>
        </w:p>
      </w:tc>
    </w:tr>
    <w:tr w:rsidR="003B1E4A" w:rsidRPr="001B7958" w:rsidTr="006E62B7">
      <w:tc>
        <w:tcPr>
          <w:tcW w:w="8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8C5556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 xml:space="preserve">Doküman No: </w:t>
          </w:r>
          <w:r>
            <w:rPr>
              <w:rFonts w:ascii="Century Gothic" w:eastAsia="Times New Roman" w:hAnsi="Century Gothic" w:cs="Times New Roman"/>
              <w:b/>
              <w:sz w:val="10"/>
              <w:szCs w:val="18"/>
            </w:rPr>
            <w:t>BY.YD.02</w:t>
          </w:r>
        </w:p>
      </w:tc>
      <w:tc>
        <w:tcPr>
          <w:tcW w:w="1021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8C5556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>Y.Tarih:25.03.2016</w:t>
          </w:r>
        </w:p>
      </w:tc>
      <w:tc>
        <w:tcPr>
          <w:tcW w:w="99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8C5556" w:rsidP="001F1071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sz w:val="10"/>
              <w:szCs w:val="18"/>
            </w:rPr>
            <w:t>Rev. Tarih:</w:t>
          </w:r>
          <w:r w:rsidRPr="001B7958">
            <w:rPr>
              <w:rFonts w:ascii="Century Gothic" w:eastAsia="Times New Roman" w:hAnsi="Century Gothic" w:cs="Times New Roman"/>
              <w:b/>
              <w:sz w:val="10"/>
              <w:szCs w:val="24"/>
            </w:rPr>
            <w:t xml:space="preserve"> </w:t>
          </w:r>
          <w:r w:rsidRPr="00872A37">
            <w:rPr>
              <w:rFonts w:ascii="Century Gothic" w:eastAsia="Times New Roman" w:hAnsi="Century Gothic" w:cs="Times New Roman"/>
              <w:b/>
              <w:sz w:val="10"/>
              <w:szCs w:val="24"/>
            </w:rPr>
            <w:t>30.07.2019</w:t>
          </w:r>
        </w:p>
      </w:tc>
      <w:tc>
        <w:tcPr>
          <w:tcW w:w="146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8C5556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sz w:val="10"/>
              <w:szCs w:val="18"/>
            </w:rPr>
          </w:pPr>
          <w:r>
            <w:rPr>
              <w:rFonts w:ascii="Century Gothic" w:eastAsia="Times New Roman" w:hAnsi="Century Gothic" w:cs="Times New Roman"/>
              <w:b/>
              <w:sz w:val="10"/>
              <w:szCs w:val="18"/>
            </w:rPr>
            <w:t>Rev No:02</w:t>
          </w:r>
        </w:p>
      </w:tc>
      <w:tc>
        <w:tcPr>
          <w:tcW w:w="705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bottom"/>
        </w:tcPr>
        <w:p w:rsidR="003B1E4A" w:rsidRPr="001B7958" w:rsidRDefault="008C5556" w:rsidP="001B7958">
          <w:pPr>
            <w:spacing w:after="0" w:line="240" w:lineRule="auto"/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</w:pP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t xml:space="preserve">Sayfa </w: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begin"/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instrText>PAGE  \* Arabic  \* MERGEFORMAT</w:instrTex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separate"/>
          </w:r>
          <w:r>
            <w:rPr>
              <w:rFonts w:ascii="Century Gothic" w:eastAsia="Times New Roman" w:hAnsi="Century Gothic" w:cs="Times New Roman"/>
              <w:b/>
              <w:noProof/>
              <w:color w:val="000000"/>
              <w:sz w:val="10"/>
              <w:szCs w:val="18"/>
            </w:rPr>
            <w:t>1</w:t>
          </w:r>
          <w:r w:rsidRPr="001B7958"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fldChar w:fldCharType="end"/>
          </w:r>
          <w:r>
            <w:rPr>
              <w:rFonts w:ascii="Century Gothic" w:eastAsia="Times New Roman" w:hAnsi="Century Gothic" w:cs="Times New Roman"/>
              <w:b/>
              <w:color w:val="000000"/>
              <w:sz w:val="10"/>
              <w:szCs w:val="18"/>
            </w:rPr>
            <w:t xml:space="preserve"> /20</w:t>
          </w:r>
        </w:p>
      </w:tc>
    </w:tr>
  </w:tbl>
  <w:p w:rsidR="003B1E4A" w:rsidRDefault="008C5556" w:rsidP="00200E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0AA0"/>
    <w:multiLevelType w:val="hybridMultilevel"/>
    <w:tmpl w:val="D74C2A84"/>
    <w:lvl w:ilvl="0" w:tplc="4DF4DD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338B3"/>
    <w:multiLevelType w:val="hybridMultilevel"/>
    <w:tmpl w:val="E0083C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41"/>
    <w:rsid w:val="000D1F3B"/>
    <w:rsid w:val="0014333F"/>
    <w:rsid w:val="00856941"/>
    <w:rsid w:val="008C5556"/>
    <w:rsid w:val="00BA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64F3"/>
  <w15:chartTrackingRefBased/>
  <w15:docId w15:val="{0AEA2188-0D05-4FA9-8B5A-A13EEE7E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3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333F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3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333F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14333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3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4333F"/>
    <w:pPr>
      <w:ind w:left="720"/>
      <w:contextualSpacing/>
    </w:pPr>
  </w:style>
  <w:style w:type="character" w:customStyle="1" w:styleId="GvdemetniKaln">
    <w:name w:val="Gövde metni + Kalın"/>
    <w:basedOn w:val="VarsaylanParagrafYazTipi"/>
    <w:rsid w:val="0014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">
    <w:name w:val="Gövde metni"/>
    <w:basedOn w:val="VarsaylanParagrafYazTipi"/>
    <w:rsid w:val="0014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LucidaSansUnicode85pt">
    <w:name w:val="Gövde metni + Lucida Sans Unicode;8;5 pt"/>
    <w:basedOn w:val="VarsaylanParagrafYazTipi"/>
    <w:rsid w:val="0014333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/>
    </w:rPr>
  </w:style>
  <w:style w:type="character" w:customStyle="1" w:styleId="GvdemetniTrebuchetMS9ptKaln">
    <w:name w:val="Gövde metni + Trebuchet MS;9 pt;Kalın"/>
    <w:basedOn w:val="VarsaylanParagrafYazTipi"/>
    <w:rsid w:val="0014333F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2019-12-06T08:54:00Z</dcterms:created>
  <dcterms:modified xsi:type="dcterms:W3CDTF">2019-12-06T12:21:00Z</dcterms:modified>
</cp:coreProperties>
</file>